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360" w:beforeAutospacing="0" w:after="226" w:afterAutospacing="0" w:line="420" w:lineRule="atLeast"/>
        <w:ind w:left="0" w:right="0"/>
        <w:jc w:val="center"/>
        <w:rPr>
          <w:sz w:val="25"/>
          <w:szCs w:val="25"/>
        </w:rPr>
      </w:pPr>
      <w:r>
        <w:rPr>
          <w:rStyle w:val="5"/>
          <w:rFonts w:ascii="sans-serif" w:hAnsi="sans-serif" w:eastAsia="sans-serif" w:cs="sans-serif"/>
          <w:color w:val="4D4D4D"/>
          <w:sz w:val="25"/>
          <w:szCs w:val="25"/>
          <w:bdr w:val="none" w:color="auto" w:sz="0" w:space="0"/>
        </w:rPr>
        <w:t>普通学校特殊教育资源教室建设指南</w:t>
      </w:r>
    </w:p>
    <w:p>
      <w:pPr>
        <w:pStyle w:val="3"/>
        <w:keepNext w:val="0"/>
        <w:keepLines w:val="0"/>
        <w:widowControl/>
        <w:suppressLineNumbers w:val="0"/>
        <w:spacing w:before="360" w:beforeAutospacing="0" w:after="226" w:afterAutospacing="0" w:line="420" w:lineRule="atLeast"/>
        <w:ind w:left="0" w:right="0"/>
        <w:jc w:val="both"/>
        <w:rPr>
          <w:sz w:val="25"/>
          <w:szCs w:val="25"/>
        </w:rPr>
      </w:pPr>
      <w:r>
        <w:rPr>
          <w:rFonts w:hint="default" w:ascii="sans-serif" w:hAnsi="sans-serif" w:eastAsia="sans-serif" w:cs="sans-serif"/>
          <w:b w:val="0"/>
          <w:color w:val="4D4D4D"/>
          <w:sz w:val="25"/>
          <w:szCs w:val="25"/>
          <w:bdr w:val="none" w:color="auto" w:sz="0" w:space="0"/>
        </w:rPr>
        <w:t>　　为更好地推进全纳教育，完善普通学校随班就读支持保障体系，提高残疾学生教育教学质量，依据《义务教育法》和《残疾人教育条例》的有关规定，制定本指南。</w:t>
      </w:r>
    </w:p>
    <w:p>
      <w:pPr>
        <w:pStyle w:val="3"/>
        <w:keepNext w:val="0"/>
        <w:keepLines w:val="0"/>
        <w:widowControl/>
        <w:suppressLineNumbers w:val="0"/>
        <w:spacing w:before="360" w:beforeAutospacing="0" w:after="226" w:afterAutospacing="0" w:line="420" w:lineRule="atLeast"/>
        <w:ind w:left="0" w:right="0"/>
        <w:jc w:val="both"/>
        <w:rPr>
          <w:sz w:val="25"/>
          <w:szCs w:val="25"/>
        </w:rPr>
      </w:pPr>
      <w:r>
        <w:rPr>
          <w:rFonts w:hint="default" w:ascii="sans-serif" w:hAnsi="sans-serif" w:eastAsia="sans-serif" w:cs="sans-serif"/>
          <w:b w:val="0"/>
          <w:color w:val="4D4D4D"/>
          <w:sz w:val="25"/>
          <w:szCs w:val="25"/>
          <w:bdr w:val="none" w:color="auto" w:sz="0" w:space="0"/>
        </w:rPr>
        <w:t>　　一、总体要求</w:t>
      </w:r>
    </w:p>
    <w:p>
      <w:pPr>
        <w:pStyle w:val="3"/>
        <w:keepNext w:val="0"/>
        <w:keepLines w:val="0"/>
        <w:widowControl/>
        <w:suppressLineNumbers w:val="0"/>
        <w:spacing w:before="360" w:beforeAutospacing="0" w:after="226" w:afterAutospacing="0" w:line="420" w:lineRule="atLeast"/>
        <w:ind w:left="0" w:right="0"/>
        <w:jc w:val="both"/>
        <w:rPr>
          <w:sz w:val="25"/>
          <w:szCs w:val="25"/>
        </w:rPr>
      </w:pPr>
      <w:r>
        <w:rPr>
          <w:rFonts w:hint="default" w:ascii="sans-serif" w:hAnsi="sans-serif" w:eastAsia="sans-serif" w:cs="sans-serif"/>
          <w:b w:val="0"/>
          <w:color w:val="4D4D4D"/>
          <w:sz w:val="25"/>
          <w:szCs w:val="25"/>
          <w:bdr w:val="none" w:color="auto" w:sz="0" w:space="0"/>
        </w:rPr>
        <w:t>　　在普通学校（含幼儿园、普通中小学、中等职业学校，以下同）建设资源教室，要遵循残疾学生身心发展规律，充分考虑残疾学生潜能开发和功能补偿的需求，以增强残疾学生终身学习和融入社会的能力为目的；要坚持设施设备的整体性和专业服务的系统性，为残疾学生的学习、康复和生活辅导提供全方位支持；要突出针对性和有效性，根据每一个残疾学生的残疾类型、残疾程度和特殊需要，及时调整更新配置；要确保安全，配备的设施设备必须符合国家的相关安全和环保标准，不得含有国家明令禁止使用的有毒材料。</w:t>
      </w:r>
    </w:p>
    <w:p>
      <w:pPr>
        <w:pStyle w:val="3"/>
        <w:keepNext w:val="0"/>
        <w:keepLines w:val="0"/>
        <w:widowControl/>
        <w:suppressLineNumbers w:val="0"/>
        <w:spacing w:before="360" w:beforeAutospacing="0" w:after="226" w:afterAutospacing="0" w:line="420" w:lineRule="atLeast"/>
        <w:ind w:left="0" w:right="0"/>
        <w:jc w:val="both"/>
        <w:rPr>
          <w:sz w:val="25"/>
          <w:szCs w:val="25"/>
        </w:rPr>
      </w:pPr>
      <w:r>
        <w:rPr>
          <w:rFonts w:hint="default" w:ascii="sans-serif" w:hAnsi="sans-serif" w:eastAsia="sans-serif" w:cs="sans-serif"/>
          <w:b w:val="0"/>
          <w:color w:val="4D4D4D"/>
          <w:sz w:val="25"/>
          <w:szCs w:val="25"/>
          <w:bdr w:val="none" w:color="auto" w:sz="0" w:space="0"/>
        </w:rPr>
        <w:t>　　二、功能作用</w:t>
      </w:r>
    </w:p>
    <w:p>
      <w:pPr>
        <w:pStyle w:val="3"/>
        <w:keepNext w:val="0"/>
        <w:keepLines w:val="0"/>
        <w:widowControl/>
        <w:suppressLineNumbers w:val="0"/>
        <w:spacing w:before="360" w:beforeAutospacing="0" w:after="226" w:afterAutospacing="0" w:line="420" w:lineRule="atLeast"/>
        <w:ind w:left="0" w:right="0"/>
        <w:jc w:val="both"/>
        <w:rPr>
          <w:sz w:val="25"/>
          <w:szCs w:val="25"/>
        </w:rPr>
      </w:pPr>
      <w:r>
        <w:rPr>
          <w:rFonts w:hint="default" w:ascii="sans-serif" w:hAnsi="sans-serif" w:eastAsia="sans-serif" w:cs="sans-serif"/>
          <w:b w:val="0"/>
          <w:color w:val="4D4D4D"/>
          <w:sz w:val="25"/>
          <w:szCs w:val="25"/>
          <w:bdr w:val="none" w:color="auto" w:sz="0" w:space="0"/>
        </w:rPr>
        <w:t>　　资源教室是为随班就读的残疾学生及其他有特殊需要的学生、教师和家长，提供特殊教育专业服务的场所，应具备如下主要功能：</w:t>
      </w:r>
    </w:p>
    <w:p>
      <w:pPr>
        <w:pStyle w:val="3"/>
        <w:keepNext w:val="0"/>
        <w:keepLines w:val="0"/>
        <w:widowControl/>
        <w:suppressLineNumbers w:val="0"/>
        <w:spacing w:before="360" w:beforeAutospacing="0" w:after="226" w:afterAutospacing="0" w:line="420" w:lineRule="atLeast"/>
        <w:ind w:left="0" w:right="0"/>
        <w:jc w:val="both"/>
        <w:rPr>
          <w:sz w:val="25"/>
          <w:szCs w:val="25"/>
        </w:rPr>
      </w:pPr>
      <w:r>
        <w:rPr>
          <w:rFonts w:hint="default" w:ascii="sans-serif" w:hAnsi="sans-serif" w:eastAsia="sans-serif" w:cs="sans-serif"/>
          <w:b w:val="0"/>
          <w:color w:val="4D4D4D"/>
          <w:sz w:val="25"/>
          <w:szCs w:val="25"/>
          <w:bdr w:val="none" w:color="auto" w:sz="0" w:space="0"/>
        </w:rPr>
        <w:t>　　（一）开展特殊教育咨询、测查、评估、建档等活动。</w:t>
      </w:r>
    </w:p>
    <w:p>
      <w:pPr>
        <w:pStyle w:val="3"/>
        <w:keepNext w:val="0"/>
        <w:keepLines w:val="0"/>
        <w:widowControl/>
        <w:suppressLineNumbers w:val="0"/>
        <w:spacing w:before="360" w:beforeAutospacing="0" w:after="226" w:afterAutospacing="0" w:line="420" w:lineRule="atLeast"/>
        <w:ind w:left="0" w:right="0"/>
        <w:jc w:val="both"/>
        <w:rPr>
          <w:sz w:val="25"/>
          <w:szCs w:val="25"/>
        </w:rPr>
      </w:pPr>
      <w:r>
        <w:rPr>
          <w:rFonts w:hint="default" w:ascii="sans-serif" w:hAnsi="sans-serif" w:eastAsia="sans-serif" w:cs="sans-serif"/>
          <w:b w:val="0"/>
          <w:color w:val="4D4D4D"/>
          <w:sz w:val="25"/>
          <w:szCs w:val="25"/>
          <w:bdr w:val="none" w:color="auto" w:sz="0" w:space="0"/>
        </w:rPr>
        <w:t>　　（二）进行学科知识辅导。</w:t>
      </w:r>
    </w:p>
    <w:p>
      <w:pPr>
        <w:pStyle w:val="3"/>
        <w:keepNext w:val="0"/>
        <w:keepLines w:val="0"/>
        <w:widowControl/>
        <w:suppressLineNumbers w:val="0"/>
        <w:spacing w:before="360" w:beforeAutospacing="0" w:after="226" w:afterAutospacing="0" w:line="420" w:lineRule="atLeast"/>
        <w:ind w:left="0" w:right="0"/>
        <w:jc w:val="both"/>
        <w:rPr>
          <w:sz w:val="25"/>
          <w:szCs w:val="25"/>
        </w:rPr>
      </w:pPr>
      <w:r>
        <w:rPr>
          <w:rFonts w:hint="default" w:ascii="sans-serif" w:hAnsi="sans-serif" w:eastAsia="sans-serif" w:cs="sans-serif"/>
          <w:b w:val="0"/>
          <w:color w:val="4D4D4D"/>
          <w:sz w:val="25"/>
          <w:szCs w:val="25"/>
          <w:bdr w:val="none" w:color="auto" w:sz="0" w:space="0"/>
        </w:rPr>
        <w:t>　　（三）进行生活辅导和社会适应性训练。</w:t>
      </w:r>
    </w:p>
    <w:p>
      <w:pPr>
        <w:pStyle w:val="3"/>
        <w:keepNext w:val="0"/>
        <w:keepLines w:val="0"/>
        <w:widowControl/>
        <w:suppressLineNumbers w:val="0"/>
        <w:spacing w:before="360" w:beforeAutospacing="0" w:after="226" w:afterAutospacing="0" w:line="420" w:lineRule="atLeast"/>
        <w:ind w:left="0" w:right="0"/>
        <w:jc w:val="both"/>
        <w:rPr>
          <w:sz w:val="25"/>
          <w:szCs w:val="25"/>
        </w:rPr>
      </w:pPr>
      <w:r>
        <w:rPr>
          <w:rFonts w:hint="default" w:ascii="sans-serif" w:hAnsi="sans-serif" w:eastAsia="sans-serif" w:cs="sans-serif"/>
          <w:b w:val="0"/>
          <w:color w:val="4D4D4D"/>
          <w:sz w:val="25"/>
          <w:szCs w:val="25"/>
          <w:bdr w:val="none" w:color="auto" w:sz="0" w:space="0"/>
        </w:rPr>
        <w:t>　　（四）进行基本的康复训练。</w:t>
      </w:r>
    </w:p>
    <w:p>
      <w:pPr>
        <w:pStyle w:val="3"/>
        <w:keepNext w:val="0"/>
        <w:keepLines w:val="0"/>
        <w:widowControl/>
        <w:suppressLineNumbers w:val="0"/>
        <w:spacing w:before="360" w:beforeAutospacing="0" w:after="226" w:afterAutospacing="0" w:line="420" w:lineRule="atLeast"/>
        <w:ind w:left="0" w:right="0"/>
        <w:jc w:val="both"/>
        <w:rPr>
          <w:sz w:val="25"/>
          <w:szCs w:val="25"/>
        </w:rPr>
      </w:pPr>
      <w:r>
        <w:rPr>
          <w:rFonts w:hint="default" w:ascii="sans-serif" w:hAnsi="sans-serif" w:eastAsia="sans-serif" w:cs="sans-serif"/>
          <w:b w:val="0"/>
          <w:color w:val="4D4D4D"/>
          <w:sz w:val="25"/>
          <w:szCs w:val="25"/>
          <w:bdr w:val="none" w:color="auto" w:sz="0" w:space="0"/>
        </w:rPr>
        <w:t>　　（五）提供支持性教育环境和条件。</w:t>
      </w:r>
    </w:p>
    <w:p>
      <w:pPr>
        <w:pStyle w:val="3"/>
        <w:keepNext w:val="0"/>
        <w:keepLines w:val="0"/>
        <w:widowControl/>
        <w:suppressLineNumbers w:val="0"/>
        <w:spacing w:before="360" w:beforeAutospacing="0" w:after="226" w:afterAutospacing="0" w:line="420" w:lineRule="atLeast"/>
        <w:ind w:left="0" w:right="0"/>
        <w:jc w:val="both"/>
        <w:rPr>
          <w:sz w:val="25"/>
          <w:szCs w:val="25"/>
        </w:rPr>
      </w:pPr>
      <w:r>
        <w:rPr>
          <w:rFonts w:hint="default" w:ascii="sans-serif" w:hAnsi="sans-serif" w:eastAsia="sans-serif" w:cs="sans-serif"/>
          <w:b w:val="0"/>
          <w:color w:val="4D4D4D"/>
          <w:sz w:val="25"/>
          <w:szCs w:val="25"/>
          <w:bdr w:val="none" w:color="auto" w:sz="0" w:space="0"/>
        </w:rPr>
        <w:t>　　（六）开展普通教师、学生家长和有关社区工作人员的培训。</w:t>
      </w:r>
    </w:p>
    <w:p>
      <w:pPr>
        <w:pStyle w:val="3"/>
        <w:keepNext w:val="0"/>
        <w:keepLines w:val="0"/>
        <w:widowControl/>
        <w:suppressLineNumbers w:val="0"/>
        <w:spacing w:before="360" w:beforeAutospacing="0" w:after="226" w:afterAutospacing="0" w:line="420" w:lineRule="atLeast"/>
        <w:ind w:left="0" w:right="0"/>
        <w:jc w:val="both"/>
        <w:rPr>
          <w:sz w:val="25"/>
          <w:szCs w:val="25"/>
        </w:rPr>
      </w:pPr>
      <w:r>
        <w:rPr>
          <w:rFonts w:hint="default" w:ascii="sans-serif" w:hAnsi="sans-serif" w:eastAsia="sans-serif" w:cs="sans-serif"/>
          <w:b w:val="0"/>
          <w:color w:val="4D4D4D"/>
          <w:sz w:val="25"/>
          <w:szCs w:val="25"/>
          <w:bdr w:val="none" w:color="auto" w:sz="0" w:space="0"/>
        </w:rPr>
        <w:t>　　三、基本布局</w:t>
      </w:r>
    </w:p>
    <w:p>
      <w:pPr>
        <w:pStyle w:val="3"/>
        <w:keepNext w:val="0"/>
        <w:keepLines w:val="0"/>
        <w:widowControl/>
        <w:suppressLineNumbers w:val="0"/>
        <w:spacing w:before="360" w:beforeAutospacing="0" w:after="226" w:afterAutospacing="0" w:line="420" w:lineRule="atLeast"/>
        <w:ind w:left="0" w:right="0"/>
        <w:jc w:val="both"/>
        <w:rPr>
          <w:sz w:val="25"/>
          <w:szCs w:val="25"/>
        </w:rPr>
      </w:pPr>
      <w:r>
        <w:rPr>
          <w:rFonts w:hint="default" w:ascii="sans-serif" w:hAnsi="sans-serif" w:eastAsia="sans-serif" w:cs="sans-serif"/>
          <w:b w:val="0"/>
          <w:color w:val="4D4D4D"/>
          <w:sz w:val="25"/>
          <w:szCs w:val="25"/>
          <w:bdr w:val="none" w:color="auto" w:sz="0" w:space="0"/>
        </w:rPr>
        <w:t>　　资源教室应当优先设立在招收较多残疾学生随班就读且在当地学校布局调整规划中长期保留的普通学校。招收5人以上数量残疾学生的普通学校，一般应设立资源教室。不足5人的，由所在区域教育行政部门统筹规划资源教室的布局，辐射片区所有随班就读学生，实现共享发展。</w:t>
      </w:r>
    </w:p>
    <w:p>
      <w:pPr>
        <w:pStyle w:val="3"/>
        <w:keepNext w:val="0"/>
        <w:keepLines w:val="0"/>
        <w:widowControl/>
        <w:suppressLineNumbers w:val="0"/>
        <w:spacing w:before="360" w:beforeAutospacing="0" w:after="226" w:afterAutospacing="0" w:line="420" w:lineRule="atLeast"/>
        <w:ind w:left="0" w:right="0"/>
        <w:jc w:val="both"/>
        <w:rPr>
          <w:sz w:val="25"/>
          <w:szCs w:val="25"/>
        </w:rPr>
      </w:pPr>
      <w:r>
        <w:rPr>
          <w:rFonts w:hint="default" w:ascii="sans-serif" w:hAnsi="sans-serif" w:eastAsia="sans-serif" w:cs="sans-serif"/>
          <w:b w:val="0"/>
          <w:color w:val="4D4D4D"/>
          <w:sz w:val="25"/>
          <w:szCs w:val="25"/>
          <w:bdr w:val="none" w:color="auto" w:sz="0" w:space="0"/>
        </w:rPr>
        <w:t>　　四、场地及环境</w:t>
      </w:r>
    </w:p>
    <w:p>
      <w:pPr>
        <w:pStyle w:val="3"/>
        <w:keepNext w:val="0"/>
        <w:keepLines w:val="0"/>
        <w:widowControl/>
        <w:suppressLineNumbers w:val="0"/>
        <w:spacing w:before="360" w:beforeAutospacing="0" w:after="226" w:afterAutospacing="0" w:line="420" w:lineRule="atLeast"/>
        <w:ind w:left="0" w:right="0"/>
        <w:jc w:val="both"/>
        <w:rPr>
          <w:sz w:val="25"/>
          <w:szCs w:val="25"/>
        </w:rPr>
      </w:pPr>
      <w:r>
        <w:rPr>
          <w:rFonts w:hint="default" w:ascii="sans-serif" w:hAnsi="sans-serif" w:eastAsia="sans-serif" w:cs="sans-serif"/>
          <w:b w:val="0"/>
          <w:color w:val="4D4D4D"/>
          <w:sz w:val="25"/>
          <w:szCs w:val="25"/>
          <w:bdr w:val="none" w:color="auto" w:sz="0" w:space="0"/>
        </w:rPr>
        <w:t>　　资源教室应有固定的专用场所，一般选择教学楼一层，位置相对安静、进出方便。其面积应不小于60平方米，若由多个房间组成，应安排在一起。有条件的普通学校，可以结合需要适当扩大。所附基础设施要符合《无障碍环境建设条例》《无障碍设计规范》《特殊教育学校建筑设计规范》中的有关规定。</w:t>
      </w:r>
    </w:p>
    <w:p>
      <w:pPr>
        <w:pStyle w:val="3"/>
        <w:keepNext w:val="0"/>
        <w:keepLines w:val="0"/>
        <w:widowControl/>
        <w:suppressLineNumbers w:val="0"/>
        <w:spacing w:before="360" w:beforeAutospacing="0" w:after="226" w:afterAutospacing="0" w:line="420" w:lineRule="atLeast"/>
        <w:ind w:left="0" w:right="0"/>
        <w:jc w:val="both"/>
        <w:rPr>
          <w:sz w:val="25"/>
          <w:szCs w:val="25"/>
        </w:rPr>
      </w:pPr>
      <w:r>
        <w:rPr>
          <w:rFonts w:hint="default" w:ascii="sans-serif" w:hAnsi="sans-serif" w:eastAsia="sans-serif" w:cs="sans-serif"/>
          <w:b w:val="0"/>
          <w:color w:val="4D4D4D"/>
          <w:sz w:val="25"/>
          <w:szCs w:val="25"/>
          <w:bdr w:val="none" w:color="auto" w:sz="0" w:space="0"/>
        </w:rPr>
        <w:t>　　五、区域设置</w:t>
      </w:r>
    </w:p>
    <w:p>
      <w:pPr>
        <w:pStyle w:val="3"/>
        <w:keepNext w:val="0"/>
        <w:keepLines w:val="0"/>
        <w:widowControl/>
        <w:suppressLineNumbers w:val="0"/>
        <w:spacing w:before="360" w:beforeAutospacing="0" w:after="226" w:afterAutospacing="0" w:line="420" w:lineRule="atLeast"/>
        <w:ind w:left="0" w:right="0"/>
        <w:jc w:val="both"/>
        <w:rPr>
          <w:sz w:val="25"/>
          <w:szCs w:val="25"/>
        </w:rPr>
      </w:pPr>
      <w:r>
        <w:rPr>
          <w:rFonts w:hint="default" w:ascii="sans-serif" w:hAnsi="sans-serif" w:eastAsia="sans-serif" w:cs="sans-serif"/>
          <w:b w:val="0"/>
          <w:color w:val="4D4D4D"/>
          <w:sz w:val="25"/>
          <w:szCs w:val="25"/>
          <w:bdr w:val="none" w:color="auto" w:sz="0" w:space="0"/>
        </w:rPr>
        <w:t>　　资源教室应设置学习训练、资源评估和办公接待等基本区域。</w:t>
      </w:r>
    </w:p>
    <w:p>
      <w:pPr>
        <w:pStyle w:val="3"/>
        <w:keepNext w:val="0"/>
        <w:keepLines w:val="0"/>
        <w:widowControl/>
        <w:suppressLineNumbers w:val="0"/>
        <w:spacing w:before="360" w:beforeAutospacing="0" w:after="226" w:afterAutospacing="0" w:line="420" w:lineRule="atLeast"/>
        <w:ind w:left="0" w:right="0"/>
        <w:jc w:val="both"/>
        <w:rPr>
          <w:sz w:val="25"/>
          <w:szCs w:val="25"/>
        </w:rPr>
      </w:pPr>
      <w:r>
        <w:rPr>
          <w:rFonts w:hint="default" w:ascii="sans-serif" w:hAnsi="sans-serif" w:eastAsia="sans-serif" w:cs="sans-serif"/>
          <w:b w:val="0"/>
          <w:color w:val="4D4D4D"/>
          <w:sz w:val="25"/>
          <w:szCs w:val="25"/>
          <w:bdr w:val="none" w:color="auto" w:sz="0" w:space="0"/>
        </w:rPr>
        <w:t>　　（一）学习训练区。主要用于以个别或小组形式对学生进行学科学习辅导，以及相关的认知、情绪、社交发展方面的训练。根据学生的需求，对学生进行动作及感觉统合训练、视功能训练、言语语言康复训练等。</w:t>
      </w:r>
    </w:p>
    <w:p>
      <w:pPr>
        <w:pStyle w:val="3"/>
        <w:keepNext w:val="0"/>
        <w:keepLines w:val="0"/>
        <w:widowControl/>
        <w:suppressLineNumbers w:val="0"/>
        <w:spacing w:before="360" w:beforeAutospacing="0" w:after="226" w:afterAutospacing="0" w:line="420" w:lineRule="atLeast"/>
        <w:ind w:left="0" w:right="0"/>
        <w:jc w:val="both"/>
        <w:rPr>
          <w:sz w:val="25"/>
          <w:szCs w:val="25"/>
        </w:rPr>
      </w:pPr>
      <w:r>
        <w:rPr>
          <w:rFonts w:hint="default" w:ascii="sans-serif" w:hAnsi="sans-serif" w:eastAsia="sans-serif" w:cs="sans-serif"/>
          <w:b w:val="0"/>
          <w:color w:val="4D4D4D"/>
          <w:sz w:val="25"/>
          <w:szCs w:val="25"/>
          <w:bdr w:val="none" w:color="auto" w:sz="0" w:space="0"/>
        </w:rPr>
        <w:t>　　（二）资源评估区。主要用于存放学生教学训练计划、教师工作计划，教具、学具、图书音像资料。对学生进行学习需求测查,各种心理、生理功能基本测查和评估等。</w:t>
      </w:r>
    </w:p>
    <w:p>
      <w:pPr>
        <w:pStyle w:val="3"/>
        <w:keepNext w:val="0"/>
        <w:keepLines w:val="0"/>
        <w:widowControl/>
        <w:suppressLineNumbers w:val="0"/>
        <w:spacing w:before="360" w:beforeAutospacing="0" w:after="226" w:afterAutospacing="0" w:line="420" w:lineRule="atLeast"/>
        <w:ind w:left="0" w:right="0"/>
        <w:jc w:val="both"/>
        <w:rPr>
          <w:sz w:val="25"/>
          <w:szCs w:val="25"/>
        </w:rPr>
      </w:pPr>
      <w:r>
        <w:rPr>
          <w:rFonts w:hint="default" w:ascii="sans-serif" w:hAnsi="sans-serif" w:eastAsia="sans-serif" w:cs="sans-serif"/>
          <w:b w:val="0"/>
          <w:color w:val="4D4D4D"/>
          <w:sz w:val="25"/>
          <w:szCs w:val="25"/>
          <w:bdr w:val="none" w:color="auto" w:sz="0" w:space="0"/>
        </w:rPr>
        <w:t>　　（三）办公接待区。主要用于教师处理日常工作事务及开展相关管理工作，接待校内学生、教师、家长等来访者。</w:t>
      </w:r>
    </w:p>
    <w:p>
      <w:pPr>
        <w:pStyle w:val="3"/>
        <w:keepNext w:val="0"/>
        <w:keepLines w:val="0"/>
        <w:widowControl/>
        <w:suppressLineNumbers w:val="0"/>
        <w:spacing w:before="360" w:beforeAutospacing="0" w:after="226" w:afterAutospacing="0" w:line="420" w:lineRule="atLeast"/>
        <w:ind w:left="0" w:right="0"/>
        <w:jc w:val="both"/>
        <w:rPr>
          <w:sz w:val="25"/>
          <w:szCs w:val="25"/>
        </w:rPr>
      </w:pPr>
      <w:r>
        <w:rPr>
          <w:rFonts w:hint="default" w:ascii="sans-serif" w:hAnsi="sans-serif" w:eastAsia="sans-serif" w:cs="sans-serif"/>
          <w:b w:val="0"/>
          <w:color w:val="4D4D4D"/>
          <w:sz w:val="25"/>
          <w:szCs w:val="25"/>
          <w:bdr w:val="none" w:color="auto" w:sz="0" w:space="0"/>
        </w:rPr>
        <w:t>　　在不影响资源教室基本功能的情况下，资源教室各功能区域可以根据实际需求相互兼容。有条件的学校还可以适当拓展。</w:t>
      </w:r>
    </w:p>
    <w:p>
      <w:pPr>
        <w:pStyle w:val="3"/>
        <w:keepNext w:val="0"/>
        <w:keepLines w:val="0"/>
        <w:widowControl/>
        <w:suppressLineNumbers w:val="0"/>
        <w:spacing w:before="360" w:beforeAutospacing="0" w:after="226" w:afterAutospacing="0" w:line="420" w:lineRule="atLeast"/>
        <w:ind w:left="0" w:right="0"/>
        <w:jc w:val="both"/>
        <w:rPr>
          <w:sz w:val="25"/>
          <w:szCs w:val="25"/>
        </w:rPr>
      </w:pPr>
      <w:r>
        <w:rPr>
          <w:rFonts w:hint="default" w:ascii="sans-serif" w:hAnsi="sans-serif" w:eastAsia="sans-serif" w:cs="sans-serif"/>
          <w:b w:val="0"/>
          <w:color w:val="4D4D4D"/>
          <w:sz w:val="25"/>
          <w:szCs w:val="25"/>
          <w:bdr w:val="none" w:color="auto" w:sz="0" w:space="0"/>
        </w:rPr>
        <w:t>　　六、配备目录</w:t>
      </w:r>
    </w:p>
    <w:p>
      <w:pPr>
        <w:pStyle w:val="3"/>
        <w:keepNext w:val="0"/>
        <w:keepLines w:val="0"/>
        <w:widowControl/>
        <w:suppressLineNumbers w:val="0"/>
        <w:spacing w:before="360" w:beforeAutospacing="0" w:after="226" w:afterAutospacing="0" w:line="420" w:lineRule="atLeast"/>
        <w:ind w:left="0" w:right="0"/>
        <w:jc w:val="both"/>
        <w:rPr>
          <w:sz w:val="25"/>
          <w:szCs w:val="25"/>
        </w:rPr>
      </w:pPr>
      <w:r>
        <w:rPr>
          <w:rFonts w:hint="default" w:ascii="sans-serif" w:hAnsi="sans-serif" w:eastAsia="sans-serif" w:cs="sans-serif"/>
          <w:b w:val="0"/>
          <w:color w:val="4D4D4D"/>
          <w:sz w:val="25"/>
          <w:szCs w:val="25"/>
          <w:bdr w:val="none" w:color="auto" w:sz="0" w:space="0"/>
        </w:rPr>
        <w:t>　　分为基本配备与可选配备（详见附表）。基本配备是指满足基本需要的教育教学和康复训练设施设备、图书资料等。可选配备是指根据残疾学生的残疾类型、程度及其他特殊需要，选择配备的教育教学和康复训练设施设备、图书资料等。</w:t>
      </w:r>
    </w:p>
    <w:p>
      <w:pPr>
        <w:pStyle w:val="3"/>
        <w:keepNext w:val="0"/>
        <w:keepLines w:val="0"/>
        <w:widowControl/>
        <w:suppressLineNumbers w:val="0"/>
        <w:spacing w:before="360" w:beforeAutospacing="0" w:after="226" w:afterAutospacing="0" w:line="420" w:lineRule="atLeast"/>
        <w:ind w:left="0" w:right="0"/>
        <w:jc w:val="both"/>
        <w:rPr>
          <w:sz w:val="25"/>
          <w:szCs w:val="25"/>
        </w:rPr>
      </w:pPr>
      <w:r>
        <w:rPr>
          <w:rFonts w:hint="default" w:ascii="sans-serif" w:hAnsi="sans-serif" w:eastAsia="sans-serif" w:cs="sans-serif"/>
          <w:b w:val="0"/>
          <w:color w:val="4D4D4D"/>
          <w:sz w:val="25"/>
          <w:szCs w:val="25"/>
          <w:bdr w:val="none" w:color="auto" w:sz="0" w:space="0"/>
        </w:rPr>
        <w:t>　　七、资源教师</w:t>
      </w:r>
    </w:p>
    <w:p>
      <w:pPr>
        <w:pStyle w:val="3"/>
        <w:keepNext w:val="0"/>
        <w:keepLines w:val="0"/>
        <w:widowControl/>
        <w:suppressLineNumbers w:val="0"/>
        <w:spacing w:before="360" w:beforeAutospacing="0" w:after="226" w:afterAutospacing="0" w:line="420" w:lineRule="atLeast"/>
        <w:ind w:left="0" w:right="0"/>
        <w:jc w:val="both"/>
        <w:rPr>
          <w:sz w:val="25"/>
          <w:szCs w:val="25"/>
        </w:rPr>
      </w:pPr>
      <w:r>
        <w:rPr>
          <w:rFonts w:hint="default" w:ascii="sans-serif" w:hAnsi="sans-serif" w:eastAsia="sans-serif" w:cs="sans-serif"/>
          <w:b w:val="0"/>
          <w:color w:val="4D4D4D"/>
          <w:sz w:val="25"/>
          <w:szCs w:val="25"/>
          <w:bdr w:val="none" w:color="auto" w:sz="0" w:space="0"/>
        </w:rPr>
        <w:t>　　资源教室应配备适当资源教师，以保障资源教室能正常发挥作用。资源教师原则上须具备特殊教育、康复或其他相关专业背景，符合《教师法》规定的学历要求，具备相应的教师资格，符合《特殊教育教师专业标准》的规定，经过岗前培训，具备特殊教育和康复训练的基本理论、专业知识和操作技能。资源教师纳入特殊教育教师管理，在绩效考核、评优评先和职务（职称）评聘中给予倾斜。</w:t>
      </w:r>
    </w:p>
    <w:p>
      <w:pPr>
        <w:pStyle w:val="3"/>
        <w:keepNext w:val="0"/>
        <w:keepLines w:val="0"/>
        <w:widowControl/>
        <w:suppressLineNumbers w:val="0"/>
        <w:spacing w:before="360" w:beforeAutospacing="0" w:after="226" w:afterAutospacing="0" w:line="420" w:lineRule="atLeast"/>
        <w:ind w:left="0" w:right="0"/>
        <w:jc w:val="both"/>
        <w:rPr>
          <w:sz w:val="25"/>
          <w:szCs w:val="25"/>
        </w:rPr>
      </w:pPr>
      <w:r>
        <w:rPr>
          <w:rFonts w:hint="default" w:ascii="sans-serif" w:hAnsi="sans-serif" w:eastAsia="sans-serif" w:cs="sans-serif"/>
          <w:b w:val="0"/>
          <w:color w:val="4D4D4D"/>
          <w:sz w:val="25"/>
          <w:szCs w:val="25"/>
          <w:bdr w:val="none" w:color="auto" w:sz="0" w:space="0"/>
        </w:rPr>
        <w:t>　　八、管理规范</w:t>
      </w:r>
    </w:p>
    <w:p>
      <w:pPr>
        <w:pStyle w:val="3"/>
        <w:keepNext w:val="0"/>
        <w:keepLines w:val="0"/>
        <w:widowControl/>
        <w:suppressLineNumbers w:val="0"/>
        <w:spacing w:before="360" w:beforeAutospacing="0" w:after="226" w:afterAutospacing="0" w:line="420" w:lineRule="atLeast"/>
        <w:ind w:left="0" w:right="0"/>
        <w:jc w:val="both"/>
        <w:rPr>
          <w:sz w:val="25"/>
          <w:szCs w:val="25"/>
        </w:rPr>
      </w:pPr>
      <w:r>
        <w:rPr>
          <w:rFonts w:hint="default" w:ascii="sans-serif" w:hAnsi="sans-serif" w:eastAsia="sans-serif" w:cs="sans-serif"/>
          <w:b w:val="0"/>
          <w:color w:val="4D4D4D"/>
          <w:sz w:val="25"/>
          <w:szCs w:val="25"/>
          <w:bdr w:val="none" w:color="auto" w:sz="0" w:space="0"/>
        </w:rPr>
        <w:t>　　（一）开放时间。原则上，学生在校期间每天均应面向本校或片区内随班就读残疾学生开放。安排适当时间向其他有特殊需要的学生、教师和家长开放，并安排专人值班。</w:t>
      </w:r>
    </w:p>
    <w:p>
      <w:pPr>
        <w:pStyle w:val="3"/>
        <w:keepNext w:val="0"/>
        <w:keepLines w:val="0"/>
        <w:widowControl/>
        <w:suppressLineNumbers w:val="0"/>
        <w:spacing w:before="360" w:beforeAutospacing="0" w:after="226" w:afterAutospacing="0" w:line="420" w:lineRule="atLeast"/>
        <w:ind w:left="0" w:right="0"/>
        <w:jc w:val="both"/>
        <w:rPr>
          <w:sz w:val="25"/>
          <w:szCs w:val="25"/>
        </w:rPr>
      </w:pPr>
      <w:r>
        <w:rPr>
          <w:rFonts w:hint="default" w:ascii="sans-serif" w:hAnsi="sans-serif" w:eastAsia="sans-serif" w:cs="sans-serif"/>
          <w:b w:val="0"/>
          <w:color w:val="4D4D4D"/>
          <w:sz w:val="25"/>
          <w:szCs w:val="25"/>
          <w:bdr w:val="none" w:color="auto" w:sz="0" w:space="0"/>
        </w:rPr>
        <w:t>　　（二）经费投入。各地教育行政部门要将资源教室建设纳入当地特殊教育事业发展的总体规划，建立财政支持保障的长效机制。学校也应将资源教室的建设、维护以及工作运行纳入年度经费预算，保证资源教室工作正常开展。</w:t>
      </w:r>
    </w:p>
    <w:p>
      <w:pPr>
        <w:pStyle w:val="3"/>
        <w:keepNext w:val="0"/>
        <w:keepLines w:val="0"/>
        <w:widowControl/>
        <w:suppressLineNumbers w:val="0"/>
        <w:spacing w:before="360" w:beforeAutospacing="0" w:after="226" w:afterAutospacing="0" w:line="420" w:lineRule="atLeast"/>
        <w:ind w:left="0" w:right="0"/>
        <w:jc w:val="both"/>
        <w:rPr>
          <w:sz w:val="25"/>
          <w:szCs w:val="25"/>
        </w:rPr>
      </w:pPr>
      <w:r>
        <w:rPr>
          <w:rFonts w:hint="default" w:ascii="sans-serif" w:hAnsi="sans-serif" w:eastAsia="sans-serif" w:cs="sans-serif"/>
          <w:b w:val="0"/>
          <w:color w:val="4D4D4D"/>
          <w:sz w:val="25"/>
          <w:szCs w:val="25"/>
          <w:bdr w:val="none" w:color="auto" w:sz="0" w:space="0"/>
        </w:rPr>
        <w:t>　　（三）日常管理。资源教室应纳入学校统一管理，建立和完善相关管理制度。资源教室应根据残疾学生的特殊需要制定专门工作计划并开展工作。</w:t>
      </w:r>
    </w:p>
    <w:p>
      <w:pPr>
        <w:pStyle w:val="3"/>
        <w:keepNext w:val="0"/>
        <w:keepLines w:val="0"/>
        <w:widowControl/>
        <w:suppressLineNumbers w:val="0"/>
        <w:spacing w:before="360" w:beforeAutospacing="0" w:after="226" w:afterAutospacing="0" w:line="420" w:lineRule="atLeast"/>
        <w:ind w:left="0" w:right="0"/>
        <w:jc w:val="both"/>
        <w:rPr>
          <w:sz w:val="25"/>
          <w:szCs w:val="25"/>
        </w:rPr>
      </w:pPr>
      <w:r>
        <w:rPr>
          <w:rFonts w:hint="default" w:ascii="sans-serif" w:hAnsi="sans-serif" w:eastAsia="sans-serif" w:cs="sans-serif"/>
          <w:b w:val="0"/>
          <w:color w:val="4D4D4D"/>
          <w:sz w:val="25"/>
          <w:szCs w:val="25"/>
          <w:bdr w:val="none" w:color="auto" w:sz="0" w:space="0"/>
        </w:rPr>
        <w:t>　　（四）指导评估。区域内特殊教育指导中心或特教学校应加强对资源教室的业务指导和评估，定期委派专人为资源教师提供培训和业务支持，并对区域内资源教室的运行及成效进行考核评价，并将结果上报主管教育行政部门。</w:t>
      </w:r>
    </w:p>
    <w:p/>
    <w:p/>
    <w:p>
      <w:pPr>
        <w:spacing w:line="600" w:lineRule="exact"/>
        <w:ind w:firstLine="495" w:firstLineChars="177"/>
        <w:contextualSpacing/>
        <w:rPr>
          <w:rFonts w:ascii="仿宋_GB2312" w:hAnsi="仿宋" w:eastAsia="仿宋_GB2312"/>
          <w:sz w:val="32"/>
          <w:szCs w:val="32"/>
        </w:rPr>
      </w:pPr>
      <w:r>
        <w:rPr>
          <w:rFonts w:hint="eastAsia" w:ascii="黑体" w:hAnsi="黑体" w:eastAsia="黑体"/>
          <w:sz w:val="28"/>
        </w:rPr>
        <w:t>附表</w:t>
      </w:r>
    </w:p>
    <w:p>
      <w:pPr>
        <w:spacing w:line="600" w:lineRule="exact"/>
        <w:contextualSpacing/>
        <w:rPr>
          <w:rFonts w:ascii="黑体" w:hAnsi="黑体" w:eastAsia="黑体"/>
          <w:sz w:val="28"/>
        </w:rPr>
      </w:pPr>
    </w:p>
    <w:p>
      <w:pPr>
        <w:spacing w:line="600" w:lineRule="exact"/>
        <w:ind w:left="-480" w:firstLine="579" w:firstLineChars="161"/>
        <w:contextualSpacing/>
        <w:jc w:val="center"/>
        <w:rPr>
          <w:rFonts w:ascii="方正小标宋简体" w:eastAsia="方正小标宋简体"/>
          <w:sz w:val="36"/>
          <w:szCs w:val="36"/>
        </w:rPr>
      </w:pPr>
      <w:r>
        <w:rPr>
          <w:rFonts w:hint="eastAsia" w:ascii="方正小标宋简体" w:eastAsia="方正小标宋简体"/>
          <w:sz w:val="36"/>
          <w:szCs w:val="36"/>
        </w:rPr>
        <w:t>普通学校特殊教育资源教室配备参考目录</w:t>
      </w:r>
    </w:p>
    <w:p>
      <w:pPr>
        <w:spacing w:line="600" w:lineRule="exact"/>
        <w:ind w:left="-480" w:firstLine="580" w:firstLineChars="161"/>
        <w:contextualSpacing/>
        <w:rPr>
          <w:rFonts w:ascii="方正小标宋简体" w:eastAsia="方正小标宋简体"/>
          <w:b/>
          <w:sz w:val="36"/>
          <w:szCs w:val="36"/>
        </w:rPr>
      </w:pPr>
    </w:p>
    <w:p>
      <w:pPr>
        <w:ind w:firstLine="472" w:firstLineChars="147"/>
        <w:contextualSpacing/>
        <w:rPr>
          <w:rFonts w:ascii="楷体" w:hAnsi="楷体" w:eastAsia="楷体"/>
          <w:b/>
          <w:sz w:val="32"/>
          <w:szCs w:val="32"/>
        </w:rPr>
      </w:pPr>
      <w:r>
        <w:rPr>
          <w:rFonts w:hint="eastAsia" w:ascii="楷体" w:hAnsi="楷体" w:eastAsia="楷体"/>
          <w:b/>
          <w:sz w:val="32"/>
          <w:szCs w:val="32"/>
        </w:rPr>
        <w:t>一、基本配备</w:t>
      </w:r>
    </w:p>
    <w:tbl>
      <w:tblPr>
        <w:tblStyle w:val="8"/>
        <w:tblW w:w="89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236"/>
        <w:gridCol w:w="57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
                <w:bCs/>
                <w:color w:val="000000"/>
                <w:kern w:val="0"/>
                <w:sz w:val="24"/>
                <w:szCs w:val="24"/>
              </w:rPr>
            </w:pPr>
            <w:r>
              <w:rPr>
                <w:rFonts w:hint="eastAsia" w:ascii="仿宋_GB2312" w:hAnsi="仿宋" w:eastAsia="仿宋_GB2312" w:cs="宋体"/>
                <w:b/>
                <w:bCs/>
                <w:color w:val="000000"/>
                <w:kern w:val="0"/>
                <w:sz w:val="24"/>
                <w:szCs w:val="24"/>
              </w:rPr>
              <w:t>类别</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仿宋_GB2312" w:hAnsi="仿宋" w:eastAsia="仿宋_GB2312" w:cs="宋体"/>
                <w:b/>
                <w:bCs/>
                <w:color w:val="000000"/>
                <w:kern w:val="0"/>
                <w:sz w:val="24"/>
                <w:szCs w:val="24"/>
              </w:rPr>
            </w:pPr>
            <w:r>
              <w:rPr>
                <w:rFonts w:hint="eastAsia" w:ascii="仿宋_GB2312" w:hAnsi="仿宋" w:eastAsia="仿宋_GB2312" w:cs="宋体"/>
                <w:b/>
                <w:bCs/>
                <w:color w:val="000000"/>
                <w:kern w:val="0"/>
                <w:sz w:val="24"/>
                <w:szCs w:val="24"/>
              </w:rPr>
              <w:t>名称</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
                <w:bCs/>
                <w:color w:val="000000"/>
                <w:kern w:val="0"/>
                <w:sz w:val="24"/>
                <w:szCs w:val="24"/>
              </w:rPr>
            </w:pPr>
            <w:r>
              <w:rPr>
                <w:rFonts w:hint="eastAsia" w:ascii="仿宋_GB2312" w:hAnsi="仿宋" w:eastAsia="仿宋_GB2312" w:cs="宋体"/>
                <w:b/>
                <w:bCs/>
                <w:color w:val="000000"/>
                <w:kern w:val="0"/>
                <w:sz w:val="24"/>
                <w:szCs w:val="24"/>
              </w:rPr>
              <w:t>适用对象*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基础</w:t>
            </w:r>
          </w:p>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设备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color w:val="000000"/>
                <w:kern w:val="0"/>
                <w:sz w:val="24"/>
                <w:szCs w:val="24"/>
              </w:rPr>
              <w:t>办公用具</w:t>
            </w:r>
          </w:p>
        </w:tc>
        <w:tc>
          <w:tcPr>
            <w:tcW w:w="5954" w:type="dxa"/>
            <w:gridSpan w:val="2"/>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办公桌椅、电脑、电子白板</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p>
        </w:tc>
        <w:tc>
          <w:tcPr>
            <w:tcW w:w="709" w:type="dxa"/>
            <w:vMerge w:val="restart"/>
            <w:tcBorders>
              <w:top w:val="single" w:color="auto" w:sz="4" w:space="0"/>
              <w:left w:val="single" w:color="auto" w:sz="4" w:space="0"/>
              <w:right w:val="single" w:color="auto" w:sz="4" w:space="0"/>
            </w:tcBorders>
            <w:vAlign w:val="center"/>
          </w:tcPr>
          <w:p>
            <w:pPr>
              <w:widowControl/>
              <w:contextualSpacing/>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学习用具</w:t>
            </w:r>
          </w:p>
        </w:tc>
        <w:tc>
          <w:tcPr>
            <w:tcW w:w="5954" w:type="dxa"/>
            <w:gridSpan w:val="2"/>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课桌椅等（含肢体残疾学生使用的轮椅桌及矫形椅、和低视力学生使用的升降桌及椅子等）</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p>
        </w:tc>
        <w:tc>
          <w:tcPr>
            <w:tcW w:w="709" w:type="dxa"/>
            <w:vMerge w:val="continue"/>
            <w:tcBorders>
              <w:left w:val="single" w:color="auto" w:sz="4" w:space="0"/>
              <w:right w:val="single" w:color="auto" w:sz="4" w:space="0"/>
            </w:tcBorders>
            <w:vAlign w:val="center"/>
          </w:tcPr>
          <w:p>
            <w:pPr>
              <w:widowControl/>
              <w:contextualSpacing/>
              <w:rPr>
                <w:rFonts w:ascii="仿宋_GB2312" w:hAnsi="仿宋" w:eastAsia="仿宋_GB2312" w:cs="宋体"/>
                <w:color w:val="000000"/>
                <w:kern w:val="0"/>
                <w:sz w:val="24"/>
                <w:szCs w:val="24"/>
              </w:rPr>
            </w:pPr>
          </w:p>
        </w:tc>
        <w:tc>
          <w:tcPr>
            <w:tcW w:w="5954" w:type="dxa"/>
            <w:gridSpan w:val="2"/>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学生电脑及相关学习软件</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p>
        </w:tc>
        <w:tc>
          <w:tcPr>
            <w:tcW w:w="709" w:type="dxa"/>
            <w:vMerge w:val="continue"/>
            <w:tcBorders>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color w:val="000000"/>
                <w:kern w:val="0"/>
                <w:sz w:val="24"/>
                <w:szCs w:val="24"/>
              </w:rPr>
            </w:pPr>
          </w:p>
        </w:tc>
        <w:tc>
          <w:tcPr>
            <w:tcW w:w="5954" w:type="dxa"/>
            <w:gridSpan w:val="2"/>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有声读书机、盲用便携式电脑等</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供视力残疾学生使用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contextualSpacing/>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储物用具</w:t>
            </w:r>
          </w:p>
        </w:tc>
        <w:tc>
          <w:tcPr>
            <w:tcW w:w="5954" w:type="dxa"/>
            <w:gridSpan w:val="2"/>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各种文件柜及书柜：存放学生资料或其它文件、图书资料的文件柜、书柜；存放教学活动或干预训练所需用品的储存柜或置物架等</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7" w:hRule="atLeast"/>
        </w:trPr>
        <w:tc>
          <w:tcPr>
            <w:tcW w:w="709" w:type="dxa"/>
            <w:vMerge w:val="restart"/>
            <w:tcBorders>
              <w:top w:val="single" w:color="auto" w:sz="4" w:space="0"/>
              <w:left w:val="single" w:color="auto" w:sz="4" w:space="0"/>
              <w:right w:val="single" w:color="auto" w:sz="4" w:space="0"/>
            </w:tcBorders>
            <w:vAlign w:val="center"/>
          </w:tcPr>
          <w:p>
            <w:pPr>
              <w:widowControl/>
              <w:contextualSpacing/>
              <w:jc w:val="center"/>
              <w:rPr>
                <w:rFonts w:ascii="仿宋_GB2312" w:hAnsi="仿宋" w:eastAsia="仿宋_GB2312" w:cs="宋体"/>
                <w:color w:val="000000"/>
                <w:kern w:val="0"/>
                <w:sz w:val="24"/>
                <w:szCs w:val="24"/>
              </w:rPr>
            </w:pPr>
            <w:r>
              <w:rPr>
                <w:rFonts w:hint="eastAsia" w:ascii="仿宋_GB2312" w:hAnsi="仿宋" w:eastAsia="仿宋_GB2312" w:cs="宋体"/>
                <w:color w:val="000000"/>
                <w:sz w:val="24"/>
                <w:szCs w:val="24"/>
              </w:rPr>
              <w:t>图书音像</w:t>
            </w:r>
          </w:p>
        </w:tc>
        <w:tc>
          <w:tcPr>
            <w:tcW w:w="6663" w:type="dxa"/>
            <w:gridSpan w:val="3"/>
            <w:tcBorders>
              <w:top w:val="single" w:color="auto" w:sz="4" w:space="0"/>
              <w:left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特殊教育专业书籍及杂志、一般教育</w:t>
            </w:r>
            <w:r>
              <w:rPr>
                <w:rFonts w:ascii="仿宋_GB2312" w:hAnsi="仿宋" w:eastAsia="仿宋_GB2312" w:cs="宋体"/>
                <w:bCs/>
                <w:color w:val="000000"/>
                <w:kern w:val="0"/>
                <w:sz w:val="24"/>
                <w:szCs w:val="24"/>
              </w:rPr>
              <w:t>/心理书籍、教法类图书、康复医学类图书及各种专业工具书籍包括手语类、盲文类等相关图书等</w:t>
            </w:r>
            <w:r>
              <w:rPr>
                <w:rFonts w:hint="eastAsia" w:ascii="仿宋_GB2312" w:hAnsi="仿宋" w:eastAsia="仿宋_GB2312" w:cs="宋体"/>
                <w:bCs/>
                <w:color w:val="000000"/>
                <w:kern w:val="0"/>
                <w:sz w:val="24"/>
                <w:szCs w:val="24"/>
              </w:rPr>
              <w:t>；</w:t>
            </w:r>
          </w:p>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儿童、青少年阅读的各类图书（含绘本）及音像资料、益智类光盘等</w:t>
            </w:r>
          </w:p>
        </w:tc>
        <w:tc>
          <w:tcPr>
            <w:tcW w:w="1559" w:type="dxa"/>
            <w:tcBorders>
              <w:top w:val="single" w:color="auto" w:sz="4" w:space="0"/>
              <w:left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709" w:type="dxa"/>
            <w:vMerge w:val="continue"/>
            <w:tcBorders>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color w:val="000000"/>
                <w:kern w:val="0"/>
                <w:sz w:val="24"/>
                <w:szCs w:val="24"/>
              </w:rPr>
            </w:pPr>
          </w:p>
        </w:tc>
        <w:tc>
          <w:tcPr>
            <w:tcW w:w="6663" w:type="dxa"/>
            <w:gridSpan w:val="3"/>
            <w:tcBorders>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儿童、青少年阅读的大字及盲文读物、语音读物、触摸式读物</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供视力残疾学生使用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kern w:val="0"/>
                <w:sz w:val="24"/>
                <w:szCs w:val="24"/>
              </w:rPr>
            </w:pPr>
            <w:r>
              <w:rPr>
                <w:rFonts w:hint="eastAsia" w:ascii="仿宋_GB2312" w:hAnsi="仿宋" w:eastAsia="仿宋_GB2312" w:cs="宋体"/>
                <w:kern w:val="0"/>
                <w:sz w:val="24"/>
                <w:szCs w:val="24"/>
              </w:rPr>
              <w:t>益智类教</w:t>
            </w:r>
          </w:p>
          <w:p>
            <w:pPr>
              <w:widowControl/>
              <w:contextualSpacing/>
              <w:rPr>
                <w:rFonts w:ascii="仿宋_GB2312" w:hAnsi="仿宋" w:eastAsia="仿宋_GB2312" w:cs="宋体"/>
                <w:color w:val="000000"/>
                <w:kern w:val="0"/>
                <w:sz w:val="24"/>
                <w:szCs w:val="24"/>
              </w:rPr>
            </w:pPr>
            <w:r>
              <w:rPr>
                <w:rFonts w:hint="eastAsia" w:ascii="仿宋_GB2312" w:hAnsi="仿宋" w:eastAsia="仿宋_GB2312" w:cs="宋体"/>
                <w:kern w:val="0"/>
                <w:sz w:val="24"/>
                <w:szCs w:val="24"/>
              </w:rPr>
              <w:t>具学具类</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橡皮泥、棋子、画笔、模型、玩具、塑封的实物或卡片等；儿童图形认知板、字母数字列车、几何图形插件、蒙台梭利教具、早期干预卡片等能够促进学生认知能力发展的教具学具</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仿宋_GB2312" w:hAnsi="仿宋" w:eastAsia="仿宋_GB2312"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肢体</w:t>
            </w:r>
          </w:p>
          <w:p>
            <w:pPr>
              <w:widowControl/>
              <w:contextualSpacing/>
              <w:rPr>
                <w:rFonts w:ascii="仿宋_GB2312" w:hAnsi="仿宋" w:eastAsia="仿宋_GB2312" w:cs="宋体"/>
                <w:color w:val="000000"/>
                <w:kern w:val="0"/>
                <w:sz w:val="24"/>
                <w:szCs w:val="24"/>
              </w:rPr>
            </w:pPr>
            <w:r>
              <w:rPr>
                <w:rFonts w:hint="eastAsia" w:ascii="仿宋_GB2312" w:hAnsi="仿宋" w:eastAsia="仿宋_GB2312" w:cs="宋体"/>
                <w:bCs/>
                <w:color w:val="000000"/>
                <w:kern w:val="0"/>
                <w:sz w:val="24"/>
                <w:szCs w:val="24"/>
              </w:rPr>
              <w:t>运动辅助类</w:t>
            </w:r>
          </w:p>
        </w:tc>
        <w:tc>
          <w:tcPr>
            <w:tcW w:w="945" w:type="dxa"/>
            <w:gridSpan w:val="2"/>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大动作训练</w:t>
            </w:r>
          </w:p>
        </w:tc>
        <w:tc>
          <w:tcPr>
            <w:tcW w:w="5718" w:type="dxa"/>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步态训练器、支撑器、助行器及跳绳、拐杖、球类等能够促进学生大运动技能发展的简单器具</w:t>
            </w:r>
          </w:p>
        </w:tc>
        <w:tc>
          <w:tcPr>
            <w:tcW w:w="1559" w:type="dxa"/>
            <w:vMerge w:val="restart"/>
            <w:tcBorders>
              <w:top w:val="single" w:color="auto" w:sz="4" w:space="0"/>
              <w:left w:val="single" w:color="auto" w:sz="4" w:space="0"/>
              <w:right w:val="single" w:color="auto" w:sz="4" w:space="0"/>
            </w:tcBorders>
            <w:vAlign w:val="center"/>
          </w:tcPr>
          <w:p>
            <w:pPr>
              <w:widowControl/>
              <w:contextualSpacing/>
              <w:jc w:val="center"/>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供肢体残疾及感觉统合失调学生使用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color w:val="000000"/>
                <w:kern w:val="0"/>
                <w:sz w:val="24"/>
                <w:szCs w:val="24"/>
              </w:rPr>
            </w:pPr>
          </w:p>
        </w:tc>
        <w:tc>
          <w:tcPr>
            <w:tcW w:w="945" w:type="dxa"/>
            <w:gridSpan w:val="2"/>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精细动作训练</w:t>
            </w:r>
          </w:p>
        </w:tc>
        <w:tc>
          <w:tcPr>
            <w:tcW w:w="5718" w:type="dxa"/>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分指板、抓握练习器、套圈、沙袋、不同硬度和粗细度的磨砂板及手功能训练材料、</w:t>
            </w:r>
            <w:r>
              <w:rPr>
                <w:rFonts w:ascii="仿宋_GB2312" w:hAnsi="仿宋" w:eastAsia="仿宋_GB2312" w:cs="宋体"/>
                <w:bCs/>
                <w:color w:val="000000"/>
                <w:kern w:val="0"/>
                <w:sz w:val="24"/>
                <w:szCs w:val="24"/>
              </w:rPr>
              <w:t>OT操作台</w:t>
            </w:r>
            <w:r>
              <w:rPr>
                <w:rFonts w:hint="eastAsia" w:ascii="仿宋_GB2312" w:hAnsi="仿宋" w:eastAsia="仿宋_GB2312" w:cs="宋体"/>
                <w:bCs/>
                <w:color w:val="000000"/>
                <w:kern w:val="0"/>
                <w:sz w:val="24"/>
                <w:szCs w:val="24"/>
              </w:rPr>
              <w:t>（注：串珠、小型拼接积木、扣子等都可以帮助精细运动的发展）</w:t>
            </w:r>
          </w:p>
        </w:tc>
        <w:tc>
          <w:tcPr>
            <w:tcW w:w="1559" w:type="dxa"/>
            <w:vMerge w:val="continue"/>
            <w:tcBorders>
              <w:left w:val="single" w:color="auto" w:sz="4" w:space="0"/>
              <w:right w:val="single" w:color="auto" w:sz="4" w:space="0"/>
            </w:tcBorders>
            <w:vAlign w:val="center"/>
          </w:tcPr>
          <w:p>
            <w:pPr>
              <w:widowControl/>
              <w:contextualSpacing/>
              <w:jc w:val="center"/>
              <w:rPr>
                <w:rFonts w:ascii="仿宋_GB2312" w:hAnsi="仿宋" w:eastAsia="仿宋_GB2312"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color w:val="000000"/>
                <w:kern w:val="0"/>
                <w:sz w:val="24"/>
                <w:szCs w:val="24"/>
              </w:rPr>
            </w:pPr>
          </w:p>
        </w:tc>
        <w:tc>
          <w:tcPr>
            <w:tcW w:w="945" w:type="dxa"/>
            <w:gridSpan w:val="2"/>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感觉统合训练</w:t>
            </w:r>
          </w:p>
        </w:tc>
        <w:tc>
          <w:tcPr>
            <w:tcW w:w="57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滚筒、大龙球、触觉球、</w:t>
            </w:r>
            <w:r>
              <w:rPr>
                <w:rFonts w:hint="eastAsia" w:ascii="仿宋_GB2312" w:eastAsia="仿宋_GB2312"/>
                <w:sz w:val="24"/>
                <w:szCs w:val="24"/>
              </w:rPr>
              <w:t>吊揽系列、滑梯和滑板、蹦床、跳袋</w:t>
            </w:r>
            <w:r>
              <w:rPr>
                <w:rFonts w:hint="eastAsia" w:ascii="仿宋_GB2312" w:hAnsi="仿宋" w:eastAsia="仿宋_GB2312" w:cs="宋体"/>
                <w:bCs/>
                <w:color w:val="000000"/>
                <w:kern w:val="0"/>
                <w:sz w:val="24"/>
                <w:szCs w:val="24"/>
              </w:rPr>
              <w:t>等</w:t>
            </w:r>
          </w:p>
        </w:tc>
        <w:tc>
          <w:tcPr>
            <w:tcW w:w="1559" w:type="dxa"/>
            <w:vMerge w:val="continue"/>
            <w:tcBorders>
              <w:left w:val="single" w:color="auto" w:sz="4" w:space="0"/>
              <w:bottom w:val="single" w:color="auto" w:sz="4" w:space="0"/>
              <w:right w:val="single" w:color="auto" w:sz="4" w:space="0"/>
            </w:tcBorders>
            <w:vAlign w:val="center"/>
          </w:tcPr>
          <w:p>
            <w:pPr>
              <w:widowControl/>
              <w:contextualSpacing/>
              <w:jc w:val="center"/>
              <w:rPr>
                <w:rFonts w:ascii="仿宋_GB2312" w:hAnsi="仿宋" w:eastAsia="仿宋_GB2312"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trPr>
        <w:tc>
          <w:tcPr>
            <w:tcW w:w="709" w:type="dxa"/>
            <w:vMerge w:val="restart"/>
            <w:tcBorders>
              <w:top w:val="single" w:color="auto" w:sz="4" w:space="0"/>
              <w:left w:val="single" w:color="auto" w:sz="4" w:space="0"/>
              <w:right w:val="single" w:color="auto" w:sz="4" w:space="0"/>
            </w:tcBorders>
            <w:vAlign w:val="center"/>
          </w:tcPr>
          <w:p>
            <w:pPr>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听觉及沟通辅助类</w:t>
            </w:r>
          </w:p>
        </w:tc>
        <w:tc>
          <w:tcPr>
            <w:tcW w:w="945" w:type="dxa"/>
            <w:gridSpan w:val="2"/>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听觉功能及手语训练</w:t>
            </w:r>
          </w:p>
        </w:tc>
        <w:tc>
          <w:tcPr>
            <w:tcW w:w="5718" w:type="dxa"/>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训练听觉功能的各种产生不同频率、响度、声音的物品等</w:t>
            </w:r>
            <w:r>
              <w:rPr>
                <w:rFonts w:ascii="仿宋_GB2312" w:hAnsi="仿宋" w:eastAsia="仿宋_GB2312" w:cs="宋体"/>
                <w:bCs/>
                <w:color w:val="000000"/>
                <w:kern w:val="0"/>
                <w:sz w:val="24"/>
                <w:szCs w:val="24"/>
              </w:rPr>
              <w:t>;手语训练卡片及光盘</w:t>
            </w:r>
            <w:r>
              <w:rPr>
                <w:rFonts w:hint="eastAsia" w:ascii="仿宋_GB2312" w:hAnsi="仿宋" w:eastAsia="仿宋_GB2312" w:cs="宋体"/>
                <w:bCs/>
                <w:color w:val="000000"/>
                <w:kern w:val="0"/>
                <w:sz w:val="24"/>
                <w:szCs w:val="24"/>
              </w:rPr>
              <w:t>等；</w:t>
            </w:r>
            <w:r>
              <w:rPr>
                <w:rFonts w:hint="eastAsia" w:ascii="仿宋_GB2312" w:eastAsia="仿宋_GB2312"/>
                <w:sz w:val="24"/>
                <w:szCs w:val="24"/>
              </w:rPr>
              <w:t>助听器及保养仓</w:t>
            </w:r>
            <w:r>
              <w:rPr>
                <w:rFonts w:hint="eastAsia" w:ascii="仿宋_GB2312" w:hAnsi="仿宋" w:eastAsia="仿宋_GB2312" w:cs="宋体"/>
                <w:bCs/>
                <w:color w:val="000000"/>
                <w:kern w:val="0"/>
                <w:sz w:val="24"/>
                <w:szCs w:val="24"/>
              </w:rPr>
              <w:t>等</w:t>
            </w:r>
          </w:p>
        </w:tc>
        <w:tc>
          <w:tcPr>
            <w:tcW w:w="1559" w:type="dxa"/>
            <w:tcBorders>
              <w:top w:val="single" w:color="auto" w:sz="4" w:space="0"/>
              <w:left w:val="single" w:color="auto" w:sz="4" w:space="0"/>
              <w:right w:val="single" w:color="auto" w:sz="4" w:space="0"/>
            </w:tcBorders>
            <w:vAlign w:val="center"/>
          </w:tcPr>
          <w:p>
            <w:pPr>
              <w:widowControl/>
              <w:contextualSpacing/>
              <w:jc w:val="center"/>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供听力残疾学生使用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 w:hRule="atLeast"/>
        </w:trPr>
        <w:tc>
          <w:tcPr>
            <w:tcW w:w="709" w:type="dxa"/>
            <w:vMerge w:val="continue"/>
            <w:tcBorders>
              <w:left w:val="single" w:color="auto" w:sz="4" w:space="0"/>
              <w:right w:val="single" w:color="auto" w:sz="4" w:space="0"/>
            </w:tcBorders>
            <w:vAlign w:val="center"/>
          </w:tcPr>
          <w:p>
            <w:pPr>
              <w:contextualSpacing/>
              <w:rPr>
                <w:rFonts w:ascii="仿宋_GB2312" w:hAnsi="仿宋" w:eastAsia="仿宋_GB2312" w:cs="宋体"/>
                <w:bCs/>
                <w:color w:val="000000"/>
                <w:kern w:val="0"/>
                <w:sz w:val="24"/>
                <w:szCs w:val="24"/>
              </w:rPr>
            </w:pPr>
          </w:p>
        </w:tc>
        <w:tc>
          <w:tcPr>
            <w:tcW w:w="945" w:type="dxa"/>
            <w:gridSpan w:val="2"/>
            <w:tcBorders>
              <w:top w:val="single" w:color="auto" w:sz="4" w:space="0"/>
              <w:left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言语沟通训练</w:t>
            </w:r>
          </w:p>
        </w:tc>
        <w:tc>
          <w:tcPr>
            <w:tcW w:w="5718" w:type="dxa"/>
            <w:tcBorders>
              <w:top w:val="single" w:color="auto" w:sz="4" w:space="0"/>
              <w:left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用于呼吸、发声、语音训练的物品（蜡烛、气球等</w:t>
            </w:r>
            <w:r>
              <w:rPr>
                <w:rFonts w:ascii="仿宋_GB2312" w:hAnsi="仿宋" w:eastAsia="仿宋_GB2312" w:cs="宋体"/>
                <w:bCs/>
                <w:color w:val="000000"/>
                <w:kern w:val="0"/>
                <w:sz w:val="24"/>
                <w:szCs w:val="24"/>
              </w:rPr>
              <w:t xml:space="preserve"> </w:t>
            </w:r>
            <w:r>
              <w:rPr>
                <w:rFonts w:hint="eastAsia" w:ascii="仿宋_GB2312" w:hAnsi="仿宋" w:eastAsia="仿宋_GB2312" w:cs="宋体"/>
                <w:bCs/>
                <w:color w:val="000000"/>
                <w:kern w:val="0"/>
                <w:sz w:val="24"/>
                <w:szCs w:val="24"/>
              </w:rPr>
              <w:t>）、图片、学具（喇叭、哨子、游戏版等）及软件光盘；语言训练卡片、沟通板、语言能力评估与训练材料等</w:t>
            </w:r>
          </w:p>
        </w:tc>
        <w:tc>
          <w:tcPr>
            <w:tcW w:w="1559" w:type="dxa"/>
            <w:tcBorders>
              <w:top w:val="single" w:color="auto" w:sz="4" w:space="0"/>
              <w:left w:val="single" w:color="auto" w:sz="4" w:space="0"/>
              <w:right w:val="single" w:color="auto" w:sz="4" w:space="0"/>
            </w:tcBorders>
            <w:vAlign w:val="center"/>
          </w:tcPr>
          <w:p>
            <w:pPr>
              <w:widowControl/>
              <w:contextualSpacing/>
              <w:jc w:val="center"/>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供言语残疾学生使用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color w:val="000000"/>
                <w:kern w:val="0"/>
                <w:sz w:val="24"/>
                <w:szCs w:val="24"/>
              </w:rPr>
            </w:pPr>
          </w:p>
          <w:p>
            <w:pPr>
              <w:widowControl/>
              <w:contextualSpacing/>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视觉</w:t>
            </w:r>
          </w:p>
          <w:p>
            <w:pPr>
              <w:widowControl/>
              <w:contextualSpacing/>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辅助</w:t>
            </w:r>
          </w:p>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color w:val="000000"/>
                <w:kern w:val="0"/>
                <w:sz w:val="24"/>
                <w:szCs w:val="24"/>
              </w:rPr>
              <w:t>类</w:t>
            </w:r>
          </w:p>
        </w:tc>
        <w:tc>
          <w:tcPr>
            <w:tcW w:w="945" w:type="dxa"/>
            <w:gridSpan w:val="2"/>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盲文书写工具及盲用教学具</w:t>
            </w:r>
          </w:p>
        </w:tc>
        <w:tc>
          <w:tcPr>
            <w:tcW w:w="5718" w:type="dxa"/>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盲文板、盲文笔及盲文纸；</w:t>
            </w:r>
          </w:p>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盲用直尺、盲用三角板、盲用算盘、盲用量角器、盲用圆规、盲用卷尺、盲用绘图板等；</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供视力残疾（全盲）学生使用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p>
        </w:tc>
        <w:tc>
          <w:tcPr>
            <w:tcW w:w="945" w:type="dxa"/>
            <w:gridSpan w:val="2"/>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教材及辅具</w:t>
            </w:r>
          </w:p>
        </w:tc>
        <w:tc>
          <w:tcPr>
            <w:tcW w:w="5718" w:type="dxa"/>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盲文版教材及各种触摸图集、模型；</w:t>
            </w:r>
          </w:p>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语音计算器、盲杖、眼罩等</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仿宋_GB2312" w:hAnsi="仿宋" w:eastAsia="仿宋_GB2312"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p>
        </w:tc>
        <w:tc>
          <w:tcPr>
            <w:tcW w:w="945" w:type="dxa"/>
            <w:gridSpan w:val="2"/>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视觉辅助设备</w:t>
            </w:r>
          </w:p>
        </w:tc>
        <w:tc>
          <w:tcPr>
            <w:tcW w:w="5718" w:type="dxa"/>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视功能训练工具及材料；</w:t>
            </w:r>
          </w:p>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便携式助视器或放大镜、望远镜、可调式照明灯等</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供视力残疾（低视力）学生使用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p>
        </w:tc>
        <w:tc>
          <w:tcPr>
            <w:tcW w:w="945" w:type="dxa"/>
            <w:gridSpan w:val="2"/>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教材及其他</w:t>
            </w:r>
          </w:p>
        </w:tc>
        <w:tc>
          <w:tcPr>
            <w:tcW w:w="5718" w:type="dxa"/>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大字版教材及图集；</w:t>
            </w:r>
          </w:p>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助写板、大字格作业本及其他视知觉训练材料等</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p>
        </w:tc>
      </w:tr>
    </w:tbl>
    <w:p>
      <w:pPr>
        <w:contextualSpacing/>
        <w:rPr>
          <w:rFonts w:ascii="楷体" w:hAnsi="楷体" w:eastAsia="楷体"/>
          <w:b/>
          <w:sz w:val="32"/>
          <w:szCs w:val="32"/>
        </w:rPr>
      </w:pPr>
    </w:p>
    <w:p>
      <w:pPr>
        <w:ind w:firstLine="472" w:firstLineChars="147"/>
        <w:contextualSpacing/>
        <w:rPr>
          <w:rFonts w:ascii="楷体" w:hAnsi="楷体" w:eastAsia="楷体"/>
          <w:b/>
          <w:sz w:val="32"/>
          <w:szCs w:val="32"/>
        </w:rPr>
      </w:pPr>
      <w:r>
        <w:rPr>
          <w:rFonts w:hint="eastAsia" w:ascii="楷体" w:hAnsi="楷体" w:eastAsia="楷体"/>
          <w:b/>
          <w:sz w:val="32"/>
          <w:szCs w:val="32"/>
        </w:rPr>
        <w:t>二、可选配备</w:t>
      </w:r>
    </w:p>
    <w:tbl>
      <w:tblPr>
        <w:tblStyle w:val="8"/>
        <w:tblW w:w="89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6633"/>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contextualSpacing/>
              <w:rPr>
                <w:rFonts w:ascii="仿宋_GB2312" w:hAnsi="仿宋" w:eastAsia="仿宋_GB2312" w:cs="宋体"/>
                <w:b/>
                <w:bCs/>
                <w:color w:val="000000"/>
                <w:kern w:val="0"/>
                <w:sz w:val="24"/>
                <w:szCs w:val="24"/>
              </w:rPr>
            </w:pPr>
            <w:r>
              <w:rPr>
                <w:rFonts w:hint="eastAsia" w:ascii="仿宋_GB2312" w:hAnsi="仿宋" w:eastAsia="仿宋_GB2312" w:cs="宋体"/>
                <w:b/>
                <w:bCs/>
                <w:color w:val="000000"/>
                <w:kern w:val="0"/>
                <w:sz w:val="24"/>
                <w:szCs w:val="24"/>
              </w:rPr>
              <w:t>类别</w:t>
            </w:r>
          </w:p>
        </w:tc>
        <w:tc>
          <w:tcPr>
            <w:tcW w:w="6633" w:type="dxa"/>
            <w:tcBorders>
              <w:top w:val="single" w:color="auto" w:sz="4" w:space="0"/>
              <w:left w:val="single" w:color="auto" w:sz="4" w:space="0"/>
              <w:bottom w:val="single" w:color="auto" w:sz="4" w:space="0"/>
              <w:right w:val="single" w:color="auto" w:sz="4" w:space="0"/>
            </w:tcBorders>
          </w:tcPr>
          <w:p>
            <w:pPr>
              <w:widowControl/>
              <w:contextualSpacing/>
              <w:jc w:val="center"/>
              <w:rPr>
                <w:rFonts w:ascii="仿宋_GB2312" w:hAnsi="仿宋" w:eastAsia="仿宋_GB2312" w:cs="宋体"/>
                <w:b/>
                <w:bCs/>
                <w:color w:val="000000"/>
                <w:kern w:val="0"/>
                <w:sz w:val="24"/>
                <w:szCs w:val="24"/>
              </w:rPr>
            </w:pPr>
            <w:r>
              <w:rPr>
                <w:rFonts w:hint="eastAsia" w:ascii="仿宋_GB2312" w:hAnsi="仿宋" w:eastAsia="仿宋_GB2312" w:cs="宋体"/>
                <w:b/>
                <w:bCs/>
                <w:color w:val="000000"/>
                <w:kern w:val="0"/>
                <w:sz w:val="24"/>
                <w:szCs w:val="24"/>
              </w:rPr>
              <w:t>名称</w:t>
            </w:r>
          </w:p>
        </w:tc>
        <w:tc>
          <w:tcPr>
            <w:tcW w:w="1589" w:type="dxa"/>
            <w:tcBorders>
              <w:top w:val="single" w:color="auto" w:sz="4" w:space="0"/>
              <w:left w:val="single" w:color="auto" w:sz="4" w:space="0"/>
              <w:bottom w:val="single" w:color="auto" w:sz="4" w:space="0"/>
              <w:right w:val="single" w:color="auto" w:sz="4" w:space="0"/>
            </w:tcBorders>
          </w:tcPr>
          <w:p>
            <w:pPr>
              <w:widowControl/>
              <w:contextualSpacing/>
              <w:rPr>
                <w:rFonts w:ascii="仿宋_GB2312" w:hAnsi="仿宋" w:eastAsia="仿宋_GB2312" w:cs="宋体"/>
                <w:b/>
                <w:bCs/>
                <w:color w:val="000000"/>
                <w:kern w:val="0"/>
                <w:sz w:val="24"/>
                <w:szCs w:val="24"/>
              </w:rPr>
            </w:pPr>
            <w:r>
              <w:rPr>
                <w:rFonts w:hint="eastAsia" w:ascii="仿宋_GB2312" w:hAnsi="仿宋" w:eastAsia="仿宋_GB2312" w:cs="宋体"/>
                <w:b/>
                <w:bCs/>
                <w:color w:val="000000"/>
                <w:kern w:val="0"/>
                <w:sz w:val="24"/>
                <w:szCs w:val="24"/>
              </w:rPr>
              <w:t>适用对象*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4"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肢体</w:t>
            </w:r>
          </w:p>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运动</w:t>
            </w:r>
          </w:p>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辅助</w:t>
            </w:r>
          </w:p>
          <w:p>
            <w:pPr>
              <w:widowControl/>
              <w:contextualSpacing/>
              <w:rPr>
                <w:rFonts w:ascii="仿宋_GB2312" w:hAnsi="仿宋" w:eastAsia="仿宋_GB2312" w:cs="宋体"/>
                <w:color w:val="000000"/>
                <w:kern w:val="0"/>
                <w:sz w:val="24"/>
                <w:szCs w:val="24"/>
              </w:rPr>
            </w:pPr>
            <w:r>
              <w:rPr>
                <w:rFonts w:hint="eastAsia" w:ascii="仿宋_GB2312" w:hAnsi="仿宋" w:eastAsia="仿宋_GB2312" w:cs="宋体"/>
                <w:bCs/>
                <w:color w:val="000000"/>
                <w:kern w:val="0"/>
                <w:sz w:val="24"/>
                <w:szCs w:val="24"/>
              </w:rPr>
              <w:t>类</w:t>
            </w:r>
          </w:p>
        </w:tc>
        <w:tc>
          <w:tcPr>
            <w:tcW w:w="6633" w:type="dxa"/>
            <w:tcBorders>
              <w:top w:val="single" w:color="auto" w:sz="4" w:space="0"/>
              <w:left w:val="single" w:color="auto" w:sz="4" w:space="0"/>
              <w:right w:val="single" w:color="auto" w:sz="4" w:space="0"/>
            </w:tcBorders>
            <w:vAlign w:val="center"/>
          </w:tcPr>
          <w:p>
            <w:pPr>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太极平衡板、手摇旋转器、跳袋、平衡木、独脚椅、平衡功能评定及训练设备等；</w:t>
            </w:r>
          </w:p>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作业治疗器等、踏步器、平衡功能评定及训练设备、上肢运动功能训练设备、下肢运动功能训练设备、轮椅等；</w:t>
            </w:r>
          </w:p>
          <w:p>
            <w:pPr>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多感官统合训练设备</w:t>
            </w:r>
          </w:p>
        </w:tc>
        <w:tc>
          <w:tcPr>
            <w:tcW w:w="1589" w:type="dxa"/>
            <w:tcBorders>
              <w:top w:val="single" w:color="auto" w:sz="4" w:space="0"/>
              <w:left w:val="single" w:color="auto" w:sz="4" w:space="0"/>
              <w:right w:val="single" w:color="auto" w:sz="4" w:space="0"/>
            </w:tcBorders>
            <w:vAlign w:val="center"/>
          </w:tcPr>
          <w:p>
            <w:pPr>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供肢体残疾及感觉统合失调学生使用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709" w:type="dxa"/>
            <w:tcBorders>
              <w:top w:val="single" w:color="auto" w:sz="4" w:space="0"/>
              <w:left w:val="single" w:color="auto" w:sz="4" w:space="0"/>
              <w:right w:val="single" w:color="auto" w:sz="4" w:space="0"/>
            </w:tcBorders>
            <w:vAlign w:val="center"/>
          </w:tcPr>
          <w:p>
            <w:pPr>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听觉</w:t>
            </w:r>
          </w:p>
          <w:p>
            <w:pPr>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及沟</w:t>
            </w:r>
          </w:p>
          <w:p>
            <w:pPr>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通辅</w:t>
            </w:r>
          </w:p>
          <w:p>
            <w:pPr>
              <w:contextualSpacing/>
              <w:rPr>
                <w:rFonts w:ascii="仿宋_GB2312" w:hAnsi="仿宋" w:eastAsia="仿宋_GB2312" w:cs="宋体"/>
                <w:color w:val="000000"/>
                <w:kern w:val="0"/>
                <w:sz w:val="24"/>
                <w:szCs w:val="24"/>
              </w:rPr>
            </w:pPr>
            <w:r>
              <w:rPr>
                <w:rFonts w:hint="eastAsia" w:ascii="仿宋_GB2312" w:hAnsi="仿宋" w:eastAsia="仿宋_GB2312" w:cs="宋体"/>
                <w:bCs/>
                <w:color w:val="000000"/>
                <w:kern w:val="0"/>
                <w:sz w:val="24"/>
                <w:szCs w:val="24"/>
              </w:rPr>
              <w:t>助类</w:t>
            </w:r>
          </w:p>
        </w:tc>
        <w:tc>
          <w:tcPr>
            <w:tcW w:w="6633" w:type="dxa"/>
            <w:tcBorders>
              <w:top w:val="single" w:color="auto" w:sz="4" w:space="0"/>
              <w:left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手语教学软件等；</w:t>
            </w:r>
          </w:p>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言语语言沟通评估训练设备等；</w:t>
            </w:r>
          </w:p>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早期语言干预或康复设备</w:t>
            </w:r>
          </w:p>
        </w:tc>
        <w:tc>
          <w:tcPr>
            <w:tcW w:w="1589" w:type="dxa"/>
            <w:tcBorders>
              <w:top w:val="single" w:color="auto" w:sz="4" w:space="0"/>
              <w:left w:val="single" w:color="auto" w:sz="4" w:space="0"/>
              <w:right w:val="single" w:color="auto" w:sz="4" w:space="0"/>
            </w:tcBorders>
            <w:vAlign w:val="center"/>
          </w:tcPr>
          <w:p>
            <w:pPr>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供听力残疾、言语残疾学生使用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trPr>
        <w:tc>
          <w:tcPr>
            <w:tcW w:w="709" w:type="dxa"/>
            <w:vMerge w:val="restart"/>
            <w:tcBorders>
              <w:top w:val="single" w:color="auto" w:sz="4" w:space="0"/>
              <w:left w:val="single" w:color="auto" w:sz="4" w:space="0"/>
              <w:right w:val="single" w:color="auto" w:sz="4" w:space="0"/>
            </w:tcBorders>
            <w:vAlign w:val="center"/>
          </w:tcPr>
          <w:p>
            <w:pPr>
              <w:widowControl/>
              <w:contextualSpacing/>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视觉</w:t>
            </w:r>
          </w:p>
          <w:p>
            <w:pPr>
              <w:widowControl/>
              <w:contextualSpacing/>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辅助</w:t>
            </w:r>
          </w:p>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color w:val="000000"/>
                <w:kern w:val="0"/>
                <w:sz w:val="24"/>
                <w:szCs w:val="24"/>
              </w:rPr>
              <w:t>类</w:t>
            </w:r>
          </w:p>
        </w:tc>
        <w:tc>
          <w:tcPr>
            <w:tcW w:w="6633" w:type="dxa"/>
            <w:tcBorders>
              <w:top w:val="single" w:color="auto" w:sz="4" w:space="0"/>
              <w:left w:val="single" w:color="auto" w:sz="4" w:space="0"/>
              <w:right w:val="single" w:color="auto" w:sz="4" w:space="0"/>
            </w:tcBorders>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盲文打字机、点显器等；</w:t>
            </w:r>
          </w:p>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著名建筑模型及常用动物模型标本等；</w:t>
            </w:r>
          </w:p>
          <w:p>
            <w:pPr>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盲用电脑及软件、盲文打印机等</w:t>
            </w:r>
          </w:p>
        </w:tc>
        <w:tc>
          <w:tcPr>
            <w:tcW w:w="1589" w:type="dxa"/>
            <w:tcBorders>
              <w:top w:val="single" w:color="auto" w:sz="4" w:space="0"/>
              <w:left w:val="single" w:color="auto" w:sz="4" w:space="0"/>
              <w:right w:val="single" w:color="auto" w:sz="4" w:space="0"/>
            </w:tcBorders>
            <w:vAlign w:val="center"/>
          </w:tcPr>
          <w:p>
            <w:pPr>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供视力残疾（全盲）学生使用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trPr>
        <w:tc>
          <w:tcPr>
            <w:tcW w:w="709" w:type="dxa"/>
            <w:vMerge w:val="continue"/>
            <w:tcBorders>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color w:val="000000"/>
                <w:kern w:val="0"/>
                <w:sz w:val="24"/>
                <w:szCs w:val="24"/>
              </w:rPr>
            </w:pPr>
          </w:p>
        </w:tc>
        <w:tc>
          <w:tcPr>
            <w:tcW w:w="6633" w:type="dxa"/>
            <w:tcBorders>
              <w:left w:val="single" w:color="auto" w:sz="4" w:space="0"/>
              <w:bottom w:val="single" w:color="auto" w:sz="4" w:space="0"/>
              <w:right w:val="single" w:color="auto" w:sz="4" w:space="0"/>
            </w:tcBorders>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可调节式阅读支架、闭路电视放大机</w:t>
            </w:r>
            <w:r>
              <w:rPr>
                <w:rFonts w:ascii="仿宋_GB2312" w:hAnsi="仿宋" w:eastAsia="仿宋_GB2312" w:cs="宋体"/>
                <w:bCs/>
                <w:color w:val="000000"/>
                <w:kern w:val="0"/>
                <w:sz w:val="24"/>
                <w:szCs w:val="24"/>
              </w:rPr>
              <w:t>等</w:t>
            </w:r>
            <w:r>
              <w:rPr>
                <w:rFonts w:hint="eastAsia" w:ascii="仿宋_GB2312" w:hAnsi="仿宋" w:eastAsia="仿宋_GB2312" w:cs="宋体"/>
                <w:bCs/>
                <w:color w:val="000000"/>
                <w:kern w:val="0"/>
                <w:sz w:val="24"/>
                <w:szCs w:val="24"/>
              </w:rPr>
              <w:t>；</w:t>
            </w:r>
          </w:p>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视力及视野测试及评估设备等；</w:t>
            </w:r>
          </w:p>
          <w:p>
            <w:pPr>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视动协调类训练材料等</w:t>
            </w:r>
          </w:p>
        </w:tc>
        <w:tc>
          <w:tcPr>
            <w:tcW w:w="1589" w:type="dxa"/>
            <w:tcBorders>
              <w:top w:val="single" w:color="auto" w:sz="4" w:space="0"/>
              <w:left w:val="single" w:color="auto" w:sz="4" w:space="0"/>
              <w:bottom w:val="single" w:color="auto" w:sz="4" w:space="0"/>
              <w:right w:val="single" w:color="auto" w:sz="4" w:space="0"/>
            </w:tcBorders>
            <w:vAlign w:val="center"/>
          </w:tcPr>
          <w:p>
            <w:pPr>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供视力残疾（低视力）学生使用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身心</w:t>
            </w:r>
          </w:p>
          <w:p>
            <w:pPr>
              <w:widowControl/>
              <w:contextualSpacing/>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发展</w:t>
            </w:r>
          </w:p>
          <w:p>
            <w:pPr>
              <w:widowControl/>
              <w:contextualSpacing/>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评估</w:t>
            </w:r>
          </w:p>
          <w:p>
            <w:pPr>
              <w:widowControl/>
              <w:contextualSpacing/>
              <w:rPr>
                <w:rFonts w:ascii="仿宋_GB2312" w:hAnsi="仿宋" w:eastAsia="仿宋_GB2312" w:cs="宋体"/>
                <w:bCs/>
                <w:kern w:val="0"/>
                <w:sz w:val="24"/>
                <w:szCs w:val="24"/>
              </w:rPr>
            </w:pPr>
            <w:r>
              <w:rPr>
                <w:rFonts w:hint="eastAsia" w:ascii="仿宋_GB2312" w:hAnsi="仿宋" w:eastAsia="仿宋_GB2312" w:cs="宋体"/>
                <w:color w:val="000000"/>
                <w:kern w:val="0"/>
                <w:sz w:val="24"/>
                <w:szCs w:val="24"/>
              </w:rPr>
              <w:t>工具</w:t>
            </w:r>
          </w:p>
        </w:tc>
        <w:tc>
          <w:tcPr>
            <w:tcW w:w="6633" w:type="dxa"/>
            <w:tcBorders>
              <w:top w:val="single" w:color="auto" w:sz="4" w:space="0"/>
              <w:left w:val="single" w:color="auto" w:sz="4" w:space="0"/>
              <w:bottom w:val="single" w:color="auto" w:sz="4" w:space="0"/>
              <w:right w:val="single" w:color="auto" w:sz="4" w:space="0"/>
            </w:tcBorders>
          </w:tcPr>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学习风格评估量表及工具；</w:t>
            </w:r>
          </w:p>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阅读学习能力评估量表及工具；</w:t>
            </w:r>
          </w:p>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数学学习能力评估量表及工具；</w:t>
            </w:r>
          </w:p>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大动作、精细动作、体能评估量表及工具；</w:t>
            </w:r>
          </w:p>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情绪行为问题评估量表及工具；</w:t>
            </w:r>
          </w:p>
          <w:p>
            <w:pPr>
              <w:widowControl/>
              <w:contextualSpacing/>
              <w:rPr>
                <w:rFonts w:ascii="仿宋_GB2312" w:hAnsi="仿宋" w:eastAsia="仿宋_GB2312" w:cs="宋体"/>
                <w:bCs/>
                <w:color w:val="000000"/>
                <w:kern w:val="0"/>
                <w:sz w:val="24"/>
                <w:szCs w:val="24"/>
              </w:rPr>
            </w:pPr>
            <w:r>
              <w:rPr>
                <w:rFonts w:hint="eastAsia" w:ascii="仿宋_GB2312" w:hAnsi="仿宋" w:eastAsia="仿宋_GB2312" w:cs="宋体"/>
                <w:bCs/>
                <w:color w:val="000000"/>
                <w:kern w:val="0"/>
                <w:sz w:val="24"/>
                <w:szCs w:val="24"/>
              </w:rPr>
              <w:t>认知评估量表及工具等</w:t>
            </w:r>
          </w:p>
        </w:tc>
        <w:tc>
          <w:tcPr>
            <w:tcW w:w="1589" w:type="dxa"/>
            <w:tcBorders>
              <w:top w:val="single" w:color="auto" w:sz="4" w:space="0"/>
              <w:left w:val="single" w:color="auto" w:sz="4" w:space="0"/>
              <w:bottom w:val="single" w:color="auto" w:sz="4" w:space="0"/>
              <w:right w:val="single" w:color="auto" w:sz="4" w:space="0"/>
            </w:tcBorders>
            <w:vAlign w:val="center"/>
          </w:tcPr>
          <w:p>
            <w:pPr>
              <w:contextualSpacing/>
              <w:rPr>
                <w:rFonts w:ascii="仿宋_GB2312" w:hAnsi="仿宋" w:eastAsia="仿宋_GB2312"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bCs/>
                <w:kern w:val="0"/>
                <w:sz w:val="24"/>
                <w:szCs w:val="24"/>
              </w:rPr>
            </w:pPr>
            <w:r>
              <w:rPr>
                <w:rFonts w:hint="eastAsia" w:ascii="仿宋_GB2312" w:hAnsi="仿宋" w:eastAsia="仿宋_GB2312" w:cs="宋体"/>
                <w:bCs/>
                <w:color w:val="000000"/>
                <w:kern w:val="0"/>
                <w:sz w:val="24"/>
                <w:szCs w:val="24"/>
              </w:rPr>
              <w:t>心理康复训练</w:t>
            </w:r>
            <w:r>
              <w:rPr>
                <w:rFonts w:hint="eastAsia" w:ascii="仿宋_GB2312" w:hAnsi="仿宋" w:eastAsia="仿宋_GB2312" w:cs="宋体"/>
                <w:color w:val="000000"/>
                <w:kern w:val="0"/>
                <w:sz w:val="24"/>
                <w:szCs w:val="24"/>
              </w:rPr>
              <w:t>类</w:t>
            </w:r>
          </w:p>
        </w:tc>
        <w:tc>
          <w:tcPr>
            <w:tcW w:w="6633"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 w:eastAsia="仿宋_GB2312"/>
                <w:color w:val="000000"/>
                <w:kern w:val="0"/>
                <w:sz w:val="24"/>
              </w:rPr>
            </w:pPr>
            <w:r>
              <w:rPr>
                <w:rFonts w:hint="eastAsia" w:ascii="仿宋_GB2312" w:hAnsi="仿宋" w:eastAsia="仿宋_GB2312"/>
                <w:color w:val="000000"/>
                <w:kern w:val="0"/>
                <w:sz w:val="24"/>
              </w:rPr>
              <w:t>认知干预操作用具；</w:t>
            </w:r>
          </w:p>
          <w:p>
            <w:pPr>
              <w:widowControl/>
              <w:rPr>
                <w:rFonts w:ascii="仿宋_GB2312" w:hAnsi="仿宋" w:eastAsia="仿宋_GB2312"/>
                <w:color w:val="000000"/>
                <w:kern w:val="0"/>
                <w:sz w:val="24"/>
              </w:rPr>
            </w:pPr>
            <w:r>
              <w:rPr>
                <w:rFonts w:hint="eastAsia" w:ascii="仿宋_GB2312" w:hAnsi="仿宋" w:eastAsia="仿宋_GB2312"/>
                <w:color w:val="000000"/>
                <w:kern w:val="0"/>
                <w:sz w:val="24"/>
              </w:rPr>
              <w:t>沙盘等；</w:t>
            </w:r>
          </w:p>
          <w:p>
            <w:pPr>
              <w:widowControl/>
              <w:rPr>
                <w:rFonts w:ascii="仿宋_GB2312" w:hAnsi="仿宋" w:eastAsia="仿宋_GB2312" w:cs="宋体"/>
                <w:bCs/>
                <w:color w:val="000000"/>
                <w:kern w:val="0"/>
                <w:sz w:val="24"/>
                <w:szCs w:val="24"/>
              </w:rPr>
            </w:pPr>
            <w:r>
              <w:rPr>
                <w:rFonts w:hint="eastAsia" w:ascii="仿宋_GB2312" w:hAnsi="仿宋" w:eastAsia="仿宋_GB2312"/>
                <w:color w:val="000000"/>
                <w:kern w:val="0"/>
                <w:sz w:val="24"/>
              </w:rPr>
              <w:t>进行音乐治疗时使用的电子琴、吉他、</w:t>
            </w:r>
            <w:r>
              <w:rPr>
                <w:rFonts w:hint="eastAsia" w:ascii="仿宋_GB2312" w:hAnsi="仿宋" w:eastAsia="仿宋_GB2312" w:cs="宋体"/>
                <w:bCs/>
                <w:color w:val="000000"/>
                <w:kern w:val="0"/>
                <w:sz w:val="24"/>
                <w:szCs w:val="24"/>
              </w:rPr>
              <w:t>音响等（</w:t>
            </w:r>
            <w:r>
              <w:rPr>
                <w:rFonts w:hint="eastAsia" w:ascii="仿宋_GB2312" w:eastAsia="仿宋_GB2312"/>
                <w:sz w:val="24"/>
                <w:szCs w:val="24"/>
              </w:rPr>
              <w:t>民族地区可选配当地相应的民族乐器）</w:t>
            </w:r>
          </w:p>
        </w:tc>
        <w:tc>
          <w:tcPr>
            <w:tcW w:w="1589" w:type="dxa"/>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_GB2312" w:hAnsi="仿宋" w:eastAsia="仿宋_GB2312" w:cs="宋体"/>
                <w:sz w:val="24"/>
                <w:szCs w:val="24"/>
              </w:rPr>
            </w:pPr>
          </w:p>
        </w:tc>
      </w:tr>
    </w:tbl>
    <w:p>
      <w:pPr>
        <w:widowControl/>
        <w:contextualSpacing/>
      </w:pPr>
    </w:p>
    <w:p>
      <w:pPr>
        <w:widowControl/>
        <w:contextualSpacing/>
        <w:rPr>
          <w:rFonts w:ascii="仿宋_GB2312" w:eastAsia="仿宋_GB2312"/>
          <w:b/>
          <w:sz w:val="24"/>
          <w:szCs w:val="24"/>
        </w:rPr>
      </w:pPr>
      <w:r>
        <w:rPr>
          <w:rFonts w:hint="eastAsia" w:ascii="仿宋_GB2312" w:eastAsia="仿宋_GB2312"/>
          <w:b/>
          <w:sz w:val="24"/>
          <w:szCs w:val="24"/>
        </w:rPr>
        <w:t>*未特别标明适用对象的，适用各类残疾学生。</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1B60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D4D4D"/>
      <w:u w:val="none"/>
    </w:rPr>
  </w:style>
  <w:style w:type="character" w:styleId="7">
    <w:name w:val="Hyperlink"/>
    <w:basedOn w:val="4"/>
    <w:uiPriority w:val="0"/>
    <w:rPr>
      <w:color w:val="4D4D4D"/>
      <w:u w:val="none"/>
    </w:rPr>
  </w:style>
  <w:style w:type="character" w:customStyle="1" w:styleId="9">
    <w:name w:val="more_1"/>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2017-07-10T07:10:08Z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